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jc w:val="center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Игра « Вершки и корешки»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 Цель: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закреплять в речи детей обобщающие понятия. У одних овощей мы едим то, что находится на поверхности земли (вершки), а у других- то, что растет в земле (корешки).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Участники: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дети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hyperlink r:id="rId4" w:tooltip="Старшая группа" w:history="1">
        <w:r>
          <w:rPr>
            <w:rStyle w:val="a9"/>
            <w:rFonts w:ascii="Trebuchet MS" w:hAnsi="Trebuchet MS"/>
            <w:color w:val="09A6E4"/>
            <w:sz w:val="16"/>
            <w:szCs w:val="16"/>
          </w:rPr>
          <w:t>старшей группы</w:t>
        </w:r>
      </w:hyperlink>
      <w:r>
        <w:rPr>
          <w:rFonts w:ascii="Trebuchet MS" w:hAnsi="Trebuchet MS"/>
          <w:color w:val="000000"/>
          <w:sz w:val="16"/>
          <w:szCs w:val="16"/>
        </w:rPr>
        <w:t>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Образовательные области: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— познание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— коммуникация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Игровые правила.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Искать свой вершок или корешок можно только по сигналу. С одним и тем же игроком вставать в пару все время нельзя, надо искать и другую пару.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Игровые действия.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Поиск пары; составление целого растения.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jc w:val="center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i/>
          <w:iCs/>
          <w:color w:val="000000"/>
          <w:sz w:val="16"/>
          <w:szCs w:val="16"/>
        </w:rPr>
        <w:t> Ход игры.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Вариант 1.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После уборки урожая на своем огороде взрослый собирает детей, показывая им, какой хороший урожай они вырастили, хвалит их за полезный труд. Затем уточняет знания детей о том, что у одних растений бывают съедобные корни — корешки, у других плоды — вершки, а у некоторых растений съедобны и вершки и корешки. Взрослый объясняет правила игры: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— Сегодня мы поиграем в игру, которая так и называется «Вершки и корешки». У нас на столе лежат вершки и корешки растений — овощей. Мы сейчас разделимся на две группы: одна группа будет называться вершки, а другая — корешки. (Дети </w:t>
      </w:r>
      <w:proofErr w:type="spellStart"/>
      <w:r>
        <w:rPr>
          <w:rFonts w:ascii="Trebuchet MS" w:hAnsi="Trebuchet MS"/>
          <w:color w:val="000000"/>
          <w:sz w:val="16"/>
          <w:szCs w:val="16"/>
        </w:rPr>
        <w:t>далятся</w:t>
      </w:r>
      <w:proofErr w:type="spellEnd"/>
      <w:r>
        <w:rPr>
          <w:rFonts w:ascii="Trebuchet MS" w:hAnsi="Trebuchet MS"/>
          <w:color w:val="000000"/>
          <w:sz w:val="16"/>
          <w:szCs w:val="16"/>
        </w:rPr>
        <w:t xml:space="preserve"> на две группы.)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noProof/>
          <w:color w:val="000000"/>
          <w:sz w:val="16"/>
          <w:szCs w:val="16"/>
        </w:rPr>
        <w:drawing>
          <wp:inline distT="0" distB="0" distL="0" distR="0">
            <wp:extent cx="2857500" cy="2141220"/>
            <wp:effectExtent l="19050" t="0" r="0" b="0"/>
            <wp:docPr id="1" name="Рисунок 1" descr="Картотека дидактических игр в старшей группе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отека дидактических игр в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color w:val="000000"/>
          <w:sz w:val="16"/>
          <w:szCs w:val="16"/>
        </w:rPr>
        <w:t>Здесь на столе лежат овощи; дети первой группы берут себе в руку по вершку, а дети второй — по корешку. Все взяли? А теперь по сигналу (хлопку в ладоши) вы все разбежитесь по участку и побегаете врассыпную. Когда услышите сигнал «Раз, два, три — свою пару найди!», быстро найдите себе пару: к своему вершку — корешок.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noProof/>
          <w:color w:val="000000"/>
          <w:sz w:val="16"/>
          <w:szCs w:val="16"/>
        </w:rPr>
        <w:drawing>
          <wp:inline distT="0" distB="0" distL="0" distR="0">
            <wp:extent cx="2857500" cy="2141220"/>
            <wp:effectExtent l="19050" t="0" r="0" b="0"/>
            <wp:docPr id="2" name="Рисунок 2" descr="Дидактические игры в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идактические игры в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noProof/>
          <w:color w:val="000000"/>
          <w:sz w:val="16"/>
          <w:szCs w:val="16"/>
        </w:rPr>
        <w:lastRenderedPageBreak/>
        <w:drawing>
          <wp:inline distT="0" distB="0" distL="0" distR="0">
            <wp:extent cx="2857500" cy="2141220"/>
            <wp:effectExtent l="19050" t="0" r="0" b="0"/>
            <wp:docPr id="3" name="Рисунок 3" descr="Дидактические игры в старшей группе доу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идактические игры в старшей группе доу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color w:val="000000"/>
          <w:sz w:val="16"/>
          <w:szCs w:val="16"/>
        </w:rPr>
        <w:t>Игра повторяется, но уже искать надо другой вершок (или корешок). Нельзя все время становиться в пару с одним и тем же игроком.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 Вариант 2.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Вершки (или корешки) стоят на месте. По площадке бегает только одна подгруппа ребят. Взрослый дает сигнал</w:t>
      </w:r>
      <w:proofErr w:type="gramStart"/>
      <w:r>
        <w:rPr>
          <w:rFonts w:ascii="Trebuchet MS" w:hAnsi="Trebuchet MS"/>
          <w:color w:val="000000"/>
          <w:sz w:val="16"/>
          <w:szCs w:val="16"/>
        </w:rPr>
        <w:t>:»</w:t>
      </w:r>
      <w:proofErr w:type="gramEnd"/>
      <w:r>
        <w:rPr>
          <w:rFonts w:ascii="Trebuchet MS" w:hAnsi="Trebuchet MS"/>
          <w:color w:val="000000"/>
          <w:sz w:val="16"/>
          <w:szCs w:val="16"/>
        </w:rPr>
        <w:t>Корешки, найдите свои вершки!». Дети должны стать так, чтобы ботва и корень составили одно целое.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Правильность выполнения задания могут проверить только «волшебные ворота» (взрослый и кто-нибудь из детей), через которые проходят все пары. Чтобы интерес к игре не угасал, можно предложить поменяться вершками и корешками.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jc w:val="center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b/>
          <w:bCs/>
          <w:i/>
          <w:iCs/>
          <w:noProof/>
          <w:color w:val="000000"/>
          <w:sz w:val="16"/>
          <w:szCs w:val="16"/>
        </w:rPr>
        <w:drawing>
          <wp:inline distT="0" distB="0" distL="0" distR="0">
            <wp:extent cx="2857500" cy="2141220"/>
            <wp:effectExtent l="19050" t="0" r="0" b="0"/>
            <wp:docPr id="4" name="Рисунок 4" descr="Дидактические игры старшей группы с целями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идактические игры старшей группы с целям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4"/>
          <w:rFonts w:ascii="Trebuchet MS" w:hAnsi="Trebuchet MS"/>
          <w:b/>
          <w:bCs/>
          <w:color w:val="000000"/>
          <w:sz w:val="16"/>
          <w:szCs w:val="16"/>
        </w:rPr>
        <w:t> Игра «Загадочные животные»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Цель:</w:t>
      </w:r>
      <w:r>
        <w:rPr>
          <w:rFonts w:ascii="Trebuchet MS" w:hAnsi="Trebuchet MS"/>
          <w:color w:val="000000"/>
          <w:sz w:val="16"/>
          <w:szCs w:val="16"/>
        </w:rPr>
        <w:t> Развивать зрительное восприятие, внимание, воображение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Участники: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дети старшей группы.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Образовательные области: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— познание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— коммуникация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 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Материал: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картон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color w:val="000000"/>
          <w:sz w:val="16"/>
          <w:szCs w:val="16"/>
        </w:rPr>
        <w:t>Место использования:</w:t>
      </w:r>
      <w:r>
        <w:rPr>
          <w:rStyle w:val="apple-converted-space"/>
          <w:rFonts w:ascii="Trebuchet MS" w:hAnsi="Trebuchet MS"/>
          <w:color w:val="000000"/>
          <w:sz w:val="16"/>
          <w:szCs w:val="16"/>
        </w:rPr>
        <w:t> </w:t>
      </w:r>
      <w:r>
        <w:rPr>
          <w:rFonts w:ascii="Trebuchet MS" w:hAnsi="Trebuchet MS"/>
          <w:color w:val="000000"/>
          <w:sz w:val="16"/>
          <w:szCs w:val="16"/>
        </w:rPr>
        <w:t>индивидуальная работа в утреннее и вечернее время.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jc w:val="center"/>
        <w:rPr>
          <w:rFonts w:ascii="Trebuchet MS" w:hAnsi="Trebuchet MS"/>
          <w:color w:val="000000"/>
          <w:sz w:val="16"/>
          <w:szCs w:val="16"/>
        </w:rPr>
      </w:pPr>
      <w:r>
        <w:rPr>
          <w:rStyle w:val="a3"/>
          <w:rFonts w:ascii="Trebuchet MS" w:hAnsi="Trebuchet MS"/>
          <w:i/>
          <w:iCs/>
          <w:color w:val="000000"/>
          <w:sz w:val="16"/>
          <w:szCs w:val="16"/>
        </w:rPr>
        <w:t>Ход игры: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Раздайте детям большие карточки с необычными животными поровну. Предложите детям подобрать карточки с животными, которые на него похожи. Выигрывает тот, кто первым найдет все карточки и сделает это правильно.</w:t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noProof/>
          <w:color w:val="000000"/>
          <w:sz w:val="16"/>
          <w:szCs w:val="16"/>
        </w:rPr>
        <w:drawing>
          <wp:inline distT="0" distB="0" distL="0" distR="0">
            <wp:extent cx="2857500" cy="2141220"/>
            <wp:effectExtent l="19050" t="0" r="0" b="0"/>
            <wp:docPr id="5" name="Рисунок 5" descr="В пару овощей дидактическая игра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 пару овощей дидактическая игра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2E3" w:rsidRDefault="008522E3" w:rsidP="008522E3">
      <w:pPr>
        <w:pStyle w:val="a8"/>
        <w:shd w:val="clear" w:color="auto" w:fill="FFFFFF"/>
        <w:spacing w:before="0" w:beforeAutospacing="0" w:after="96" w:afterAutospacing="0" w:line="252" w:lineRule="atLeast"/>
        <w:jc w:val="righ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noProof/>
          <w:color w:val="000000"/>
          <w:sz w:val="16"/>
          <w:szCs w:val="16"/>
        </w:rPr>
        <w:drawing>
          <wp:inline distT="0" distB="0" distL="0" distR="0">
            <wp:extent cx="2857500" cy="2141220"/>
            <wp:effectExtent l="19050" t="0" r="0" b="0"/>
            <wp:docPr id="6" name="Рисунок 6" descr="Игры для детей старшего дошкольного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гры для детей старшего дошкольного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000000"/>
          <w:sz w:val="16"/>
          <w:szCs w:val="16"/>
        </w:rPr>
        <w:drawing>
          <wp:inline distT="0" distB="0" distL="0" distR="0">
            <wp:extent cx="2857500" cy="2141220"/>
            <wp:effectExtent l="19050" t="0" r="0" b="0"/>
            <wp:docPr id="7" name="Рисунок 7" descr="Игра вершки и корешки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гра вершки и корешки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000000"/>
          <w:sz w:val="16"/>
          <w:szCs w:val="16"/>
        </w:rPr>
        <w:drawing>
          <wp:inline distT="0" distB="0" distL="0" distR="0">
            <wp:extent cx="2857500" cy="2141220"/>
            <wp:effectExtent l="19050" t="0" r="0" b="0"/>
            <wp:docPr id="8" name="Рисунок 8" descr="Настольно дидактическая игра в старшей группе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Настольно дидактическая игра в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000000"/>
          <w:sz w:val="16"/>
          <w:szCs w:val="16"/>
        </w:rPr>
        <w:drawing>
          <wp:inline distT="0" distB="0" distL="0" distR="0">
            <wp:extent cx="2857500" cy="2141220"/>
            <wp:effectExtent l="19050" t="0" r="0" b="0"/>
            <wp:docPr id="9" name="Рисунок 9" descr="Дидактические игры старшая группа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Дидактические игры старшая группа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7EA" w:rsidRDefault="00C907EA"/>
    <w:sectPr w:rsidR="00C907EA" w:rsidSect="00C9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522E3"/>
    <w:rsid w:val="008522E3"/>
    <w:rsid w:val="00AA3B78"/>
    <w:rsid w:val="00B66F51"/>
    <w:rsid w:val="00C9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3B78"/>
    <w:rPr>
      <w:b/>
      <w:bCs/>
    </w:rPr>
  </w:style>
  <w:style w:type="character" w:styleId="a4">
    <w:name w:val="Emphasis"/>
    <w:basedOn w:val="a0"/>
    <w:uiPriority w:val="20"/>
    <w:qFormat/>
    <w:rsid w:val="00AA3B78"/>
    <w:rPr>
      <w:i/>
      <w:iCs/>
    </w:rPr>
  </w:style>
  <w:style w:type="paragraph" w:styleId="a5">
    <w:name w:val="No Spacing"/>
    <w:link w:val="a6"/>
    <w:uiPriority w:val="1"/>
    <w:qFormat/>
    <w:rsid w:val="00AA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AA3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A3B78"/>
    <w:pPr>
      <w:ind w:left="720"/>
      <w:contextualSpacing/>
    </w:pPr>
    <w:rPr>
      <w:rFonts w:eastAsia="Times New Roman" w:cs="Times New Roman"/>
    </w:rPr>
  </w:style>
  <w:style w:type="paragraph" w:styleId="a8">
    <w:name w:val="Normal (Web)"/>
    <w:basedOn w:val="a"/>
    <w:uiPriority w:val="99"/>
    <w:semiHidden/>
    <w:unhideWhenUsed/>
    <w:rsid w:val="008522E3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8522E3"/>
  </w:style>
  <w:style w:type="character" w:styleId="a9">
    <w:name w:val="Hyperlink"/>
    <w:basedOn w:val="a0"/>
    <w:uiPriority w:val="99"/>
    <w:semiHidden/>
    <w:unhideWhenUsed/>
    <w:rsid w:val="008522E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522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22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3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netadetstva.net/pedagogam/starshaya-gruppa/didakticheskie-igry-dlya-detej-starshego-doshkolnogo-vozrasta.html/attachment/foto-030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planetadetstva.net/pedagogam/starshaya-gruppa/didakticheskie-igry-dlya-detej-starshego-doshkolnogo-vozrasta.html/attachment/foto-041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planetadetstva.net/pedagogam/starshaya-gruppa/didakticheskie-igry-dlya-detej-starshego-doshkolnogo-vozrasta.html/attachment/foto-040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planetadetstva.net/pedagogam/starshaya-gruppa/didakticheskie-igry-dlya-detej-starshego-doshkolnogo-vozrasta.html/attachment/foto-039" TargetMode="External"/><Relationship Id="rId20" Type="http://schemas.openxmlformats.org/officeDocument/2006/relationships/hyperlink" Target="http://planetadetstva.net/pedagogam/starshaya-gruppa/didakticheskie-igry-dlya-detej-starshego-doshkolnogo-vozrasta.html/attachment/foto-042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planetadetstva.net/pedagogam/starshaya-gruppa/didakticheskie-igry-dlya-detej-starshego-doshkolnogo-vozrasta.html/attachment/foto-028" TargetMode="Externa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yperlink" Target="http://planetadetstva.net/pedagogam/starshaya-gruppa/didakticheskie-igry-dlya-detej-starshego-doshkolnogo-vozrasta.html/attachment/foto-031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planetadetstva.net/pedagogam/starshaya-gruppa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planetadetstva.net/pedagogam/starshaya-gruppa/didakticheskie-igry-dlya-detej-starshego-doshkolnogo-vozrasta.html/attachment/foto-03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2016-04-05T16:57:00Z</dcterms:created>
  <dcterms:modified xsi:type="dcterms:W3CDTF">2016-04-05T17:15:00Z</dcterms:modified>
</cp:coreProperties>
</file>